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 implement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living curriculum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schools must fundamentally shift from a model of stability and content delivery to one of agility and capability building. This requires reorganizing institutional structures to allow for continuous updates and real-world integration.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Structural Agility: Escaping the Governance Trap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"governance trap" is the primary barrier to a living curriculum. Traditional universities are designed for stability, where curriculum updates can take years to navigate through faculty committees and accreditation boards.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Modular Course Design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Instead of massive, monolithic four-year programs, curricula should be broken down into smaller, stackable units or micro-credentials. This allows individual modules to be updated or replaced without redesigning the entire degree.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Decoupling Content from Outcomes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Schools should define high-level competencies (e.g., "ethical reasoning in healthcare") as fixed goals, while allowing the specific case studies or tools used to teach them to change as the field evolves.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Innovation of Education Labs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Institutions should establish dedicated "Education Labs"—physical or virtual spaces where faculty can pilot new tools and pedagogies in a low-stakes environment before they are scaled to the wider institution.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External Integration: The Quintuple Helix Model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curriculum only "lives" if it is in constant dialogue with the world outside the classroom. Schools should adopt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Quintuple Helix model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which creates feedback loops between five key sectors: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Academia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Sets the theoretical foundation and ensures academic rigor.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Industry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Provides real-time data on skills gaps and technological shifts (e.g., the rapid evolution of AI tools).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Government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Aligns learning with national strategic priorities and regulatory frameworks.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Civil Society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Ensures that education addresses societal challenges and fosters democratic citizenship.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Environment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Integrates long-term sustainability and environmental impact into every discipline.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Challenge-Based Learning (CBL) at Scale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a living curriculum, "content" is secondary to the "challenge".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Authentic Problems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Schools partner with municipalities, NGOs, or companies to co-design "challenges" based on real societal needs.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Interdisciplinary Teams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Students from different fields (e.g., engineering, ethics, and business) work together to solve these challenges, mimicking the complexity of the modern workplace.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Deliverable-Driven Mastery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Assessment is based on the quality of a student's output—such as a prototype or a policy report—rather than a standardized test of memorized information.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Data-Driven Refinement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Schools must 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learning analytics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treat the curriculum itself as a product that requires constant optimization.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Learning Velocity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AI systems can track how fast students master specific concepts, identifying where the curriculum is too slow (boring high performers) or too fast (leaving others behind).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Gap Diagnostics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If analytics show that students across an entire cohort are struggling with a specific concept, the curriculum can be adjusted immediately rather than waiting for an annual review.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Employer Alignment Tracking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By analyzing hiring data, schools can detect when specific skills are losing value in the labor market and pivot their focus to emerging competencies.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AI-Resistant and Critical Literacy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living curriculum must prepare students to handle the tools of the "intelligence factory" without being hollowed out by them.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Process-Oriented Assignments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Assessments should focus on the student's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reasoning process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how they used AI as a thought partner, rather than just the final answer.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Epistemological Literacy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Curricula must explicitly teach the limits of datafication and the reality of algorithmic bias, ensuring students remain critical evaluators of information.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Would you like me to outline a "First-Year Foundation" curriculum designed around these principles?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